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7CD" w:rsidRDefault="00AC17CD" w:rsidP="00AC17CD">
      <w:pPr>
        <w:keepNext/>
        <w:keepLines/>
        <w:widowControl w:val="0"/>
        <w:autoSpaceDE w:val="0"/>
        <w:autoSpaceDN w:val="0"/>
        <w:spacing w:after="0" w:line="240" w:lineRule="auto"/>
        <w:outlineLvl w:val="1"/>
        <w:rPr>
          <w:rFonts w:eastAsia="Times New Roman"/>
          <w:b/>
          <w:bCs/>
          <w:i/>
          <w:iCs/>
          <w:sz w:val="28"/>
          <w:szCs w:val="28"/>
          <w:lang w:val="vi-VN"/>
        </w:rPr>
      </w:pPr>
      <w:bookmarkStart w:id="0" w:name="_Toc86473041"/>
      <w:r>
        <w:rPr>
          <w:rFonts w:eastAsia="Times New Roman"/>
          <w:b/>
          <w:caps/>
          <w:sz w:val="24"/>
          <w:szCs w:val="24"/>
          <w:lang w:val="vi-VN"/>
        </w:rPr>
        <w:t>điỂm dỪng chân du lỊch</w:t>
      </w:r>
      <w:bookmarkEnd w:id="0"/>
      <w:r>
        <w:rPr>
          <w:rFonts w:eastAsia="Times New Roman"/>
          <w:caps/>
          <w:sz w:val="28"/>
          <w:szCs w:val="28"/>
          <w:lang w:val="vi-VN"/>
        </w:rPr>
        <w:t xml:space="preserve">, </w:t>
      </w:r>
      <w:r>
        <w:rPr>
          <w:rFonts w:eastAsia="Times New Roman"/>
          <w:sz w:val="28"/>
          <w:szCs w:val="28"/>
          <w:lang w:val="vi-VN"/>
        </w:rPr>
        <w:t xml:space="preserve">nơi nghỉ cho khách du lịch trên lộ trình du lịch trong một khoảng thời gian ngắn với một số loại hình cơ sở vật chất kỹ thuật du lịch thiết yếu gồm: bãi đỗ xe (bao gồm cả trạm tiếp xăng hoặc sạc điện cho phương tiện vận chuyển), khu vệ sinh, nhà hàng (dịch vụ ăn uống), cửa hàng (dịch vụ mua sắm), khu vui chơi cho trẻ nhỏ đáp ứng được nhu cầu của khách du lịch. </w:t>
      </w:r>
    </w:p>
    <w:p w:rsidR="00AC17CD" w:rsidRDefault="00AC17CD" w:rsidP="00AC17CD">
      <w:pPr>
        <w:widowControl w:val="0"/>
        <w:autoSpaceDE w:val="0"/>
        <w:autoSpaceDN w:val="0"/>
        <w:spacing w:after="0" w:line="240" w:lineRule="auto"/>
        <w:ind w:firstLine="567"/>
        <w:rPr>
          <w:rFonts w:eastAsia="Times New Roman"/>
          <w:sz w:val="28"/>
          <w:lang w:val="vi-VN"/>
        </w:rPr>
      </w:pPr>
      <w:r>
        <w:rPr>
          <w:rFonts w:eastAsia="Times New Roman"/>
          <w:sz w:val="28"/>
          <w:lang w:val="vi-VN"/>
        </w:rPr>
        <w:t xml:space="preserve">Tùy thuộc vào tính chất cụ thể tương ứng với nhu cầu dịch vụ, quy mô và các thành phần chức năng của ĐDCDL có thể khác nhau. Ngoài bãi đỗ xe và khu vệ sinh là hai khu chức năng bắt buộc phải có, ĐDCDL có thể có thêm các cơ sở vật chất kỹ thuật khác như được đề cập ở trên. Khoảng cách giữa các ĐDCDL được bố trí tối ưu nhất là hai tiếng di chuyển bằng phương tiện vận chuyển khách với tốc độ phù hợp quy định. </w:t>
      </w:r>
    </w:p>
    <w:p w:rsidR="00AC17CD" w:rsidRDefault="00AC17CD" w:rsidP="00AC17CD">
      <w:pPr>
        <w:widowControl w:val="0"/>
        <w:autoSpaceDE w:val="0"/>
        <w:autoSpaceDN w:val="0"/>
        <w:spacing w:after="0" w:line="240" w:lineRule="auto"/>
        <w:ind w:firstLine="567"/>
        <w:rPr>
          <w:rFonts w:eastAsia="Times New Roman"/>
          <w:sz w:val="28"/>
          <w:lang w:val="vi-VN"/>
        </w:rPr>
      </w:pPr>
      <w:r>
        <w:rPr>
          <w:rFonts w:eastAsia="Times New Roman"/>
          <w:sz w:val="28"/>
          <w:lang w:val="vi-VN"/>
        </w:rPr>
        <w:t xml:space="preserve">Đối với lộ trình du lịch theo các tuyến giao thông đường bộ, ĐDCDL có thể được tích hợp trong các trạm dừng nghỉ trên các tuyến quốc lộ. Trạm dừng nghỉ đường bộ là nơi nghỉ ngơi cho lái xe và hành khách, cung cấp thông tinvà các dịch vụ thiết yếu phục vụ nhu cầu của khách, đồng thời đây cũng là nơi quảng bá các sản phẩm đặc trưng, quảng bá du lịch của địa phương. </w:t>
      </w:r>
    </w:p>
    <w:p w:rsidR="00AC17CD" w:rsidRDefault="00AC17CD" w:rsidP="00AC17CD">
      <w:pPr>
        <w:widowControl w:val="0"/>
        <w:autoSpaceDE w:val="0"/>
        <w:autoSpaceDN w:val="0"/>
        <w:spacing w:after="0" w:line="240" w:lineRule="auto"/>
        <w:ind w:firstLine="567"/>
        <w:rPr>
          <w:rFonts w:eastAsia="Times New Roman"/>
          <w:sz w:val="28"/>
          <w:lang w:val="vi-VN"/>
        </w:rPr>
      </w:pPr>
      <w:r>
        <w:rPr>
          <w:rFonts w:eastAsia="Times New Roman"/>
          <w:sz w:val="28"/>
          <w:lang w:val="vi-VN"/>
        </w:rPr>
        <w:t>Các ĐDCDL có thể do Nhà nước đầu tư, địa phương quản lý; do Nhà nước đầu tư giao cho tư nhân quản lý và có thể do tư nhân đầu tư dưới sự cấp phép và giám sát của chính quyền địa phương. Việc quản lý hoạt động và chất lượng dịch vụ, hàng hóa dựa trên quy định do cấp quản lý có thẩm quyền ban hành. Đối với các khu, điểm du lịch có dịch vụ phục vụ khách du lịch dừng nghỉ trên hành trình theo tuyến du lịch thì chất lượng dịch vụ được quản lý theo quy định của cơ quan quản lý nhà nước về du lịch có thẩm quyền.</w:t>
      </w:r>
    </w:p>
    <w:p w:rsidR="00AC17CD" w:rsidRDefault="00AC17CD" w:rsidP="00AC17CD">
      <w:pPr>
        <w:widowControl w:val="0"/>
        <w:autoSpaceDE w:val="0"/>
        <w:autoSpaceDN w:val="0"/>
        <w:spacing w:after="0" w:line="240" w:lineRule="auto"/>
        <w:ind w:firstLine="567"/>
        <w:rPr>
          <w:rFonts w:eastAsia="Times New Roman"/>
          <w:sz w:val="28"/>
          <w:lang w:val="vi-VN"/>
        </w:rPr>
      </w:pPr>
      <w:r>
        <w:rPr>
          <w:rFonts w:eastAsia="Times New Roman"/>
          <w:sz w:val="28"/>
          <w:lang w:val="vi-VN"/>
        </w:rPr>
        <w:t>Theo nghĩa rộng, ĐDCDL có thể được hiểu là điểm trung chuyển du lịch. Những cảng hàng không với cơ sở vật chất kỹ thuật hiện đại và khả năng cung cấp dịch vụ đa dạng có thể trở thành những điểm trung chuyển du lịch khi từ đây khách du lịch sẽ tiếp tục sử dụng đường không hoặc sử dụng các phương tiện vận chuyển khác để tiếp cận điểm đến du lịch. Tận dụng thời gian chờ trung chuyển để tiếp tục hành trình của khách du lịch, hãng hàng không, sân bay và cơ quan quản lý điểm đến liên kết với nhau để cung cấp cho du khách trải nghiệm địa phương nơi có điểm trung chuyển, biến họ từ khách trung chuyển thành kháchdu lịch. Nhiều quốc gia đặc biệt là ở khu vực giữa Châu Á và Châu Âu đã có dịch vụ cấp visa trung chuyển cho khách du lịch có chuyến bay dài và dừng chân ở sân bay những nước này. Các chương trình du lịch đi trong ngày hay hai ngày một đêm tham quan thành phố nơi có sân bay và vùng phụ cận và các khu vực gần sân bay được xây dựng để thu hút đối tượng khách du lịch này.</w:t>
      </w:r>
    </w:p>
    <w:p w:rsidR="00AC17CD" w:rsidRDefault="00AC17CD" w:rsidP="00AC17CD">
      <w:pPr>
        <w:widowControl w:val="0"/>
        <w:autoSpaceDE w:val="0"/>
        <w:autoSpaceDN w:val="0"/>
        <w:spacing w:after="0" w:line="240" w:lineRule="auto"/>
        <w:ind w:firstLine="567"/>
        <w:rPr>
          <w:rFonts w:eastAsia="Times New Roman"/>
          <w:sz w:val="28"/>
          <w:szCs w:val="28"/>
          <w:lang w:val="vi-VN"/>
        </w:rPr>
      </w:pPr>
      <w:r>
        <w:rPr>
          <w:rFonts w:eastAsia="Times New Roman"/>
          <w:iCs/>
          <w:sz w:val="28"/>
          <w:szCs w:val="28"/>
          <w:lang w:val="vi-VN"/>
        </w:rPr>
        <w:t>Với sự phát triển hoạt động du lịch ở Việt Nam thì nhiều đơn vị du lịch, công ty vận chuyển đã đầu tư hệ thống điểm hay trạm dừng chân rất hiện đại để phục vụ du khách như hệ thống Mekong Rest Stop ở Tiền Giang, Long Thành v.v.</w:t>
      </w:r>
    </w:p>
    <w:p w:rsidR="00AC17CD" w:rsidRDefault="00AC17CD" w:rsidP="00AC17CD">
      <w:pPr>
        <w:widowControl w:val="0"/>
        <w:autoSpaceDE w:val="0"/>
        <w:autoSpaceDN w:val="0"/>
        <w:spacing w:after="0" w:line="240" w:lineRule="auto"/>
        <w:jc w:val="right"/>
        <w:rPr>
          <w:rFonts w:eastAsia="Times New Roman"/>
          <w:b/>
          <w:sz w:val="22"/>
          <w:lang w:val="vi-VN"/>
        </w:rPr>
      </w:pPr>
      <w:r>
        <w:rPr>
          <w:rFonts w:eastAsia="Times New Roman"/>
          <w:b/>
          <w:bCs/>
          <w:caps/>
          <w:spacing w:val="5"/>
          <w:sz w:val="22"/>
          <w:lang w:val="vi-VN"/>
        </w:rPr>
        <w:t>NguyỄn Hoàng Mai</w:t>
      </w:r>
    </w:p>
    <w:p w:rsidR="00AC17CD" w:rsidRDefault="00AC17CD" w:rsidP="00AC17CD">
      <w:pPr>
        <w:widowControl w:val="0"/>
        <w:autoSpaceDE w:val="0"/>
        <w:autoSpaceDN w:val="0"/>
        <w:spacing w:after="0" w:line="240" w:lineRule="auto"/>
        <w:jc w:val="left"/>
        <w:rPr>
          <w:rFonts w:eastAsia="Times New Roman"/>
          <w:b/>
          <w:sz w:val="24"/>
          <w:szCs w:val="20"/>
          <w:lang w:val="vi-VN"/>
        </w:rPr>
      </w:pPr>
      <w:r>
        <w:rPr>
          <w:rFonts w:eastAsia="Times New Roman"/>
          <w:b/>
          <w:sz w:val="24"/>
          <w:szCs w:val="20"/>
          <w:lang w:val="vi-VN"/>
        </w:rPr>
        <w:t>Tài liệu tham khảo:</w:t>
      </w:r>
    </w:p>
    <w:p w:rsidR="00AC17CD" w:rsidRDefault="00AC17CD" w:rsidP="00AC17CD">
      <w:pPr>
        <w:widowControl w:val="0"/>
        <w:autoSpaceDE w:val="0"/>
        <w:autoSpaceDN w:val="0"/>
        <w:spacing w:after="0" w:line="240" w:lineRule="auto"/>
        <w:rPr>
          <w:rFonts w:eastAsia="Times New Roman"/>
          <w:sz w:val="24"/>
          <w:szCs w:val="20"/>
          <w:lang w:val="vi-VN"/>
        </w:rPr>
      </w:pPr>
      <w:r>
        <w:rPr>
          <w:rFonts w:eastAsia="Times New Roman"/>
          <w:sz w:val="24"/>
          <w:szCs w:val="20"/>
          <w:lang w:val="vi-VN"/>
        </w:rPr>
        <w:t xml:space="preserve">1. Tổng cục Du lịch, </w:t>
      </w:r>
      <w:r>
        <w:rPr>
          <w:rFonts w:eastAsia="Times New Roman"/>
          <w:i/>
          <w:sz w:val="24"/>
          <w:szCs w:val="20"/>
          <w:lang w:val="vi-VN"/>
        </w:rPr>
        <w:t xml:space="preserve">Sổ tay hướng dẫn cấp nhãn du lịch xanh cho điểm dừng chân phục vụ khách </w:t>
      </w:r>
      <w:r>
        <w:rPr>
          <w:rFonts w:eastAsia="Times New Roman"/>
          <w:i/>
          <w:sz w:val="24"/>
          <w:szCs w:val="20"/>
          <w:lang w:val="vi-VN"/>
        </w:rPr>
        <w:lastRenderedPageBreak/>
        <w:t xml:space="preserve">du lịch, </w:t>
      </w:r>
      <w:r>
        <w:rPr>
          <w:rFonts w:eastAsia="Times New Roman"/>
          <w:sz w:val="24"/>
          <w:szCs w:val="20"/>
          <w:lang w:val="vi-VN"/>
        </w:rPr>
        <w:t xml:space="preserve">Ấn phẩm thuộc sản phẩm của dự án do Cơ quan Hợp tác phát triển quốc tế Tây Ban Nha tài trợ cho Bộ VHTTDL,2013. </w:t>
      </w:r>
    </w:p>
    <w:p w:rsidR="00AC17CD" w:rsidRDefault="00AC17CD" w:rsidP="00AC17CD">
      <w:pPr>
        <w:widowControl w:val="0"/>
        <w:autoSpaceDE w:val="0"/>
        <w:autoSpaceDN w:val="0"/>
        <w:spacing w:after="0" w:line="240" w:lineRule="auto"/>
        <w:rPr>
          <w:rFonts w:eastAsia="Times New Roman"/>
          <w:sz w:val="24"/>
          <w:szCs w:val="20"/>
          <w:lang w:val="vi-VN"/>
        </w:rPr>
      </w:pPr>
      <w:r>
        <w:rPr>
          <w:rFonts w:eastAsia="Times New Roman"/>
          <w:sz w:val="24"/>
          <w:szCs w:val="20"/>
          <w:lang w:val="vi-VN"/>
        </w:rPr>
        <w:t>2.</w:t>
      </w:r>
      <w:r>
        <w:rPr>
          <w:rFonts w:eastAsia="Times New Roman"/>
          <w:sz w:val="24"/>
          <w:szCs w:val="24"/>
          <w:shd w:val="clear" w:color="auto" w:fill="FFFFFF"/>
          <w:lang w:val="vi-VN"/>
        </w:rPr>
        <w:t>Tigu, G.Sanchez, A.G.Stoenescu, C.2.Gheorghe, C.&amp;Sabou, G. C.The destination experience through stopover tourism–Bucharest case study, Amfiteatru Economic, 20(12), 2018.</w:t>
      </w:r>
    </w:p>
    <w:p w:rsidR="00EB5AB5" w:rsidRPr="00AC17CD" w:rsidRDefault="00EB5AB5">
      <w:pPr>
        <w:rPr>
          <w:lang w:val="vi-VN"/>
        </w:rPr>
      </w:pPr>
      <w:bookmarkStart w:id="1" w:name="_GoBack"/>
      <w:bookmarkEnd w:id="1"/>
    </w:p>
    <w:sectPr w:rsidR="00EB5AB5" w:rsidRPr="00AC17CD"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CD"/>
    <w:rsid w:val="006F23EF"/>
    <w:rsid w:val="00AC17CD"/>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5D522-2916-4CDB-9F48-04E31CFB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CD"/>
    <w:pPr>
      <w:spacing w:after="120" w:line="324" w:lineRule="auto"/>
      <w:jc w:val="both"/>
    </w:pPr>
    <w:rPr>
      <w:rFonts w:ascii="Times New Roman" w:eastAsia="Calibri" w:hAnsi="Times New Roman" w:cs="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6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2026-06-27T15:46:00Z</dcterms:created>
  <dcterms:modified xsi:type="dcterms:W3CDTF">2026-06-27T15:46:00Z</dcterms:modified>
</cp:coreProperties>
</file>